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兰亭粗黑简体" w:eastAsia="方正兰亭粗黑简体" w:cs="方正兰亭粗黑简体"/>
          <w:color w:val="FF0000"/>
          <w:sz w:val="40"/>
          <w:szCs w:val="40"/>
        </w:rPr>
      </w:pPr>
      <w:r>
        <w:rPr>
          <w:rFonts w:hint="eastAsia" w:ascii="方正兰亭粗黑简体" w:eastAsia="方正兰亭粗黑简体" w:cs="方正兰亭粗黑简体"/>
          <w:color w:val="FF0000"/>
          <w:sz w:val="40"/>
          <w:szCs w:val="40"/>
        </w:rPr>
        <w:t>成都国翔赛鸽中心</w:t>
      </w:r>
      <w:r>
        <w:rPr>
          <w:rFonts w:ascii="方正兰亭粗黑简体" w:eastAsia="方正兰亭粗黑简体" w:cs="方正兰亭粗黑简体"/>
          <w:color w:val="FF0000"/>
          <w:sz w:val="40"/>
          <w:szCs w:val="40"/>
        </w:rPr>
        <w:t>2019</w:t>
      </w:r>
      <w:r>
        <w:rPr>
          <w:rFonts w:hint="eastAsia" w:ascii="方正兰亭粗黑简体" w:eastAsia="方正兰亭粗黑简体" w:cs="方正兰亭粗黑简体"/>
          <w:color w:val="FF0000"/>
          <w:sz w:val="40"/>
          <w:szCs w:val="40"/>
        </w:rPr>
        <w:t>第五届秋季</w:t>
      </w:r>
      <w:r>
        <w:rPr>
          <w:rFonts w:ascii="方正兰亭粗黑简体" w:eastAsia="方正兰亭粗黑简体" w:cs="方正兰亭粗黑简体"/>
          <w:color w:val="FF0000"/>
          <w:sz w:val="40"/>
          <w:szCs w:val="40"/>
        </w:rPr>
        <w:t>640</w:t>
      </w:r>
      <w:r>
        <w:rPr>
          <w:rFonts w:hint="eastAsia" w:ascii="方正兰亭粗黑简体" w:eastAsia="方正兰亭粗黑简体" w:cs="方正兰亭粗黑简体"/>
          <w:color w:val="FF0000"/>
          <w:sz w:val="40"/>
          <w:szCs w:val="40"/>
        </w:rPr>
        <w:t>万大奖赛规程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主办单位：成都帝威农业科技有限公司</w:t>
      </w:r>
      <w:r>
        <w:rPr>
          <w:rFonts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 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承办单位：成都国翔赛鸽中心</w:t>
      </w:r>
      <w:r>
        <w:rPr>
          <w:rFonts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 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方正兰亭粗黑简体" w:hAnsi="等线" w:eastAsia="方正兰亭粗黑简体" w:cs="方正兰亭粗黑简体"/>
          <w:color w:val="404040" w:themeColor="text1" w:themeTint="BF"/>
          <w:sz w:val="18"/>
          <w:szCs w:val="18"/>
          <w:lang w:val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监赛单位：成都市信鸽协会、鸽友代表，全体会员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2161A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2161A"/>
          <w:sz w:val="18"/>
          <w:szCs w:val="18"/>
          <w:lang w:val="zh-CN"/>
        </w:rPr>
        <w:t>一、参赛条件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、凡承认本规程的国内外信鸽爱好者均可报名参赛。必须佩戴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2019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年国家、地区正式足环一枚，且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35-60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天的健康幼鸽，一经报名交鸽，即视为参赛鸽主与本公棚章程合同生效，双方均严格执行本规则。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、随时公布集鸽情况。如参赛鸽在集鸽期间前发生病亡、游棚、丢失等情况，本中心将及时通知鸽主补交，本中心不负责赔偿参赛鸽。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、清棚后的参赛鸽保持正常家飞及训放，若飞失、病亡则属自然淘汰，公棚不负责赔偿且不退还所交参赛费用。</w:t>
      </w:r>
    </w:p>
    <w:p>
      <w:pPr>
        <w:spacing w:line="288" w:lineRule="auto"/>
        <w:jc w:val="both"/>
        <w:textAlignment w:val="center"/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en-US" w:eastAsia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、本中心对所有参赛幼鸽统一进行疫苗接种（已对幼鸽疫苗接种的鸽友交鸽时务必说明）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、为了保证鸽主的参赛利益，禁止杜绝任何形式的协议鸽，本中心以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6200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羽为基数（以监赛单位清棚收费羽数为准、放弃鸽除外），超出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6200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羽每超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羽增加一名尾奖，奖金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10000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元。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2161A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2161A"/>
          <w:sz w:val="18"/>
          <w:szCs w:val="18"/>
          <w:lang w:val="zh-CN"/>
        </w:rPr>
        <w:t>二、比赛项目、参赛费用及交款帐号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、本届比赛分：热身赛、预赛、决赛、大小团体、鸽王（具体训放时间和比赛时间，根据赛鸽身体状况和天气情况而定，手机短信和网上告知鸽主）。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、赛鸽参赛费每羽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元（含饲养管理费）。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、清棚汇款后，请将汇款单传真或致电公棚以便查询做帐，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028-84011622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（传真），微信：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18080189185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参赛费可直接存入以下帐户（手续费自理）。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中国农业银行：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6228 4804 6950 1595 570      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户名：刘萍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中国工商银行：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6222 0844 0201 3716 858      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户名：刘萍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                                                             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中国建设银行：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6217 0038 1004 9111 753      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户名：刘萍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中国邮政银行：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6217 9965 1002 8109 724      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户名：刘萍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                                           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汇款后，请务必将汇款单注明参赛者名称，地址、电话，传真给本中心以便查询。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刘总电话：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18080145935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传真：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028-84011622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、清棚放飞：中江方向，约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空距，由市鸽协裁判和鸽友代表监督逐羽扫描清棚。清棚，鸽主可上手验鸽！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天内交纳参赛费，如未办理交款手续，视为鸽主自动放弃参赛权，公棚有权作任何处理。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61918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61918"/>
          <w:sz w:val="18"/>
          <w:szCs w:val="18"/>
          <w:lang w:val="zh-CN"/>
        </w:rPr>
        <w:t>三、交鸽时间、地点及联系方式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、交鸽时间：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2019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年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月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日至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月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日（节假日不休）。交鸽地点：成都市金堂县隆盛镇黄桷桠村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组成都国翔赛鸽中心（成南高速竹篙出口）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、成都市鸽友可在每周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2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成华鸽协现场集鸽。集鸽电话：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18080145935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预约集鸽电话：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028-84011622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，联系电话：刘总：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18080145935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，微信：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18080189185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，所有代收点须把幼鸽发运至公棚为准。外地鸽友发运至成都各大客运站，告知到达地点、时间及汽车牌号，各项发运费用等自理，请提前与万大友联系，电话：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13348951296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31519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31519"/>
          <w:sz w:val="18"/>
          <w:szCs w:val="18"/>
          <w:lang w:val="zh-CN"/>
        </w:rPr>
        <w:t>四、录取名额及奖金：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0191F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、热身赛：金子山，录取前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名。</w:t>
      </w:r>
      <w:r>
        <w:rPr>
          <w:rFonts w:hint="eastAsia" w:ascii="方正兰亭黑_GBK" w:hAnsi="等线" w:eastAsia="方正兰亭黑_GBK" w:cs="方正兰亭黑_GBK"/>
          <w:color w:val="C0191F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C0191F"/>
          <w:sz w:val="18"/>
          <w:szCs w:val="18"/>
          <w:lang w:val="zh-CN"/>
        </w:rPr>
        <w:t>20.7</w:t>
      </w:r>
      <w:r>
        <w:rPr>
          <w:rFonts w:hint="eastAsia" w:ascii="方正兰亭黑_GBK" w:hAnsi="等线" w:eastAsia="方正兰亭黑_GBK" w:cs="方正兰亭黑_GBK"/>
          <w:color w:val="C0191F"/>
          <w:sz w:val="18"/>
          <w:szCs w:val="18"/>
          <w:lang w:val="zh-CN"/>
        </w:rPr>
        <w:t>万）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4-200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3000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2000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ascii="方正兰亭粗黑简体" w:hAnsi="等线" w:eastAsia="方正兰亭粗黑简体" w:cs="方正兰亭粗黑简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8151D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、预赛：棋盘关，录取前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名。</w:t>
      </w:r>
      <w:r>
        <w:rPr>
          <w:rFonts w:hint="eastAsia" w:ascii="方正兰亭黑_GBK" w:hAnsi="等线" w:eastAsia="方正兰亭黑_GBK" w:cs="方正兰亭黑_GBK"/>
          <w:color w:val="C8151D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C8151D"/>
          <w:sz w:val="18"/>
          <w:szCs w:val="18"/>
          <w:lang w:val="zh-CN"/>
        </w:rPr>
        <w:t>31.5</w:t>
      </w:r>
      <w:r>
        <w:rPr>
          <w:rFonts w:hint="eastAsia" w:ascii="方正兰亭黑_GBK" w:hAnsi="等线" w:eastAsia="方正兰亭黑_GBK" w:cs="方正兰亭黑_GBK"/>
          <w:color w:val="C8151D"/>
          <w:sz w:val="18"/>
          <w:szCs w:val="18"/>
          <w:lang w:val="zh-CN"/>
        </w:rPr>
        <w:t>万）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4-300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3000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815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BE192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、决赛：秦岭方向，录取前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名。</w:t>
      </w:r>
      <w:r>
        <w:rPr>
          <w:rFonts w:hint="eastAsia" w:ascii="方正兰亭黑_GBK" w:hAnsi="等线" w:eastAsia="方正兰亭黑_GBK" w:cs="方正兰亭黑_GBK"/>
          <w:color w:val="BE1920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BE1920"/>
          <w:sz w:val="18"/>
          <w:szCs w:val="18"/>
          <w:lang w:val="zh-CN"/>
        </w:rPr>
        <w:t>553</w:t>
      </w:r>
      <w:r>
        <w:rPr>
          <w:rFonts w:hint="eastAsia" w:ascii="方正兰亭黑_GBK" w:hAnsi="等线" w:eastAsia="方正兰亭黑_GBK" w:cs="方正兰亭黑_GBK"/>
          <w:color w:val="BE1920"/>
          <w:sz w:val="18"/>
          <w:szCs w:val="18"/>
          <w:lang w:val="zh-CN"/>
        </w:rPr>
        <w:t>万）</w:t>
      </w:r>
    </w:p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376"/>
        <w:gridCol w:w="1376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37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4-10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  <w:tc>
          <w:tcPr>
            <w:tcW w:w="137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11-100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  <w:tc>
          <w:tcPr>
            <w:tcW w:w="1524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101-500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150000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37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60000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37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20000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37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12000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524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BE1920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E121B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、小团体：同一名下交鸽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羽有小团体资格，超出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羽且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羽的倍数分为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A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B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C  ...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等级，不足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羽无小团体资格，不跨名编组并以收费期内确定组别。未编组的由本中心电脑自动编组。团体奖以决赛获奖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名产生，同组入围羽数多者为胜，入围羽数相同，则按第一羽赛鸽名次排列前为胜。</w:t>
      </w:r>
      <w:r>
        <w:rPr>
          <w:rFonts w:hint="eastAsia" w:ascii="方正兰亭黑_GBK" w:hAnsi="等线" w:eastAsia="方正兰亭黑_GBK" w:cs="方正兰亭黑_GBK"/>
          <w:color w:val="CE121B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CE121B"/>
          <w:sz w:val="18"/>
          <w:szCs w:val="18"/>
          <w:lang w:val="zh-CN"/>
        </w:rPr>
        <w:t>14.5</w:t>
      </w:r>
      <w:r>
        <w:rPr>
          <w:rFonts w:hint="eastAsia" w:ascii="方正兰亭黑_GBK" w:hAnsi="等线" w:eastAsia="方正兰亭黑_GBK" w:cs="方正兰亭黑_GBK"/>
          <w:color w:val="CE121B"/>
          <w:sz w:val="18"/>
          <w:szCs w:val="18"/>
          <w:lang w:val="zh-CN"/>
        </w:rPr>
        <w:t>万）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4-20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30000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20000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E121B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5171E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、大团体：同一名下交鸽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羽有大团体资格。大团规则：①不得重复使用多位鸽友姓名组团参加；②每羽赛鸽只能参加一次大团赛组合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;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③大团赛每组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羽；④赛鸽入棚后不允许任何鸽主的参赛鸽合并到他人名下；⑤大团赛获奖办法：在决赛奖鸽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名内产生，每组大团必须日赛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羽或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羽以上，先比多后比快，若进奖羽数相同，则以第一羽快者为胜。</w:t>
      </w:r>
      <w:r>
        <w:rPr>
          <w:rFonts w:hint="eastAsia" w:ascii="方正兰亭黑_GBK" w:hAnsi="等线" w:eastAsia="方正兰亭黑_GBK" w:cs="方正兰亭黑_GBK"/>
          <w:color w:val="C5171E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C5171E"/>
          <w:sz w:val="18"/>
          <w:szCs w:val="18"/>
          <w:lang w:val="zh-CN"/>
        </w:rPr>
        <w:t>13.5</w:t>
      </w:r>
      <w:r>
        <w:rPr>
          <w:rFonts w:hint="eastAsia" w:ascii="方正兰亭黑_GBK" w:hAnsi="等线" w:eastAsia="方正兰亭黑_GBK" w:cs="方正兰亭黑_GBK"/>
          <w:color w:val="C5171E"/>
          <w:sz w:val="18"/>
          <w:szCs w:val="18"/>
          <w:lang w:val="zh-CN"/>
        </w:rPr>
        <w:t>万）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4-10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30000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20000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5171E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如报到有效期内团体名次未满，由团体获奖鸽主均分剩余团体奖金；如报到有效期内未产生团体名次，则由决赛具有团体参赛资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,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格的上笼鸽均分团体奖金。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6161D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、三关鸽王：录取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名，以同一羽赛鸽三关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名内，分速相加，如分速相同，以第三关快者为胜。</w:t>
      </w:r>
      <w:r>
        <w:rPr>
          <w:rFonts w:hint="eastAsia" w:ascii="方正兰亭黑_GBK" w:hAnsi="等线" w:eastAsia="方正兰亭黑_GBK" w:cs="方正兰亭黑_GBK"/>
          <w:color w:val="C6161D"/>
          <w:sz w:val="18"/>
          <w:szCs w:val="18"/>
          <w:lang w:val="zh-CN"/>
        </w:rPr>
        <w:t>（</w:t>
      </w:r>
      <w:r>
        <w:rPr>
          <w:rFonts w:ascii="方正兰亭黑_GBK" w:hAnsi="等线" w:eastAsia="方正兰亭黑_GBK" w:cs="方正兰亭黑_GBK"/>
          <w:color w:val="C6161D"/>
          <w:sz w:val="18"/>
          <w:szCs w:val="18"/>
          <w:lang w:val="zh-CN"/>
        </w:rPr>
        <w:t>6.8</w:t>
      </w:r>
      <w:r>
        <w:rPr>
          <w:rFonts w:hint="eastAsia" w:ascii="方正兰亭黑_GBK" w:hAnsi="等线" w:eastAsia="方正兰亭黑_GBK" w:cs="方正兰亭黑_GBK"/>
          <w:color w:val="C6161D"/>
          <w:sz w:val="18"/>
          <w:szCs w:val="18"/>
          <w:lang w:val="zh-CN"/>
        </w:rPr>
        <w:t>万）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名次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冠军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亚军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季军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第</w:t>
            </w: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4-10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奖金</w:t>
            </w:r>
          </w:p>
        </w:tc>
        <w:tc>
          <w:tcPr>
            <w:tcW w:w="1925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10000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8000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  <w:tc>
          <w:tcPr>
            <w:tcW w:w="1926" w:type="dxa"/>
          </w:tcPr>
          <w:p>
            <w:pPr>
              <w:spacing w:line="288" w:lineRule="auto"/>
              <w:jc w:val="both"/>
              <w:textAlignment w:val="center"/>
              <w:rPr>
                <w:rFonts w:hint="eastAsia" w:ascii="方正兰亭黑_GBK" w:hAnsi="等线" w:eastAsia="方正兰亭黑_GBK" w:cs="方正兰亭黑_GBK"/>
                <w:color w:val="C6161D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cs="方正兰亭黑_GBK"/>
                <w:color w:val="C32328"/>
                <w:sz w:val="18"/>
                <w:szCs w:val="18"/>
              </w:rPr>
              <w:t>5000</w:t>
            </w:r>
            <w:r>
              <w:rPr>
                <w:rFonts w:hint="eastAsia" w:ascii="方正兰亭黑_GBK" w:eastAsia="方正兰亭黑_GBK" w:cs="方正兰亭黑_GBK"/>
                <w:color w:val="C32328"/>
                <w:sz w:val="18"/>
                <w:szCs w:val="18"/>
              </w:rPr>
              <w:t>元</w:t>
            </w:r>
          </w:p>
        </w:tc>
      </w:tr>
    </w:tbl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7.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热身赛、预赛前三名，决赛、团体及鸽王前十名颁发精美奖杯一樽。领取奖金时，请必须持个人身份证、付款收据或银行汇款单为凭。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CE121B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CE121B"/>
          <w:sz w:val="18"/>
          <w:szCs w:val="18"/>
          <w:lang w:val="zh-CN"/>
        </w:rPr>
        <w:t>五、获奖鸽、归巢鸽归属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1.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所有决赛前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名获奖鸽及境外归巢鸽均由本中心进行拍卖。拍卖时间及规则，公棚将根据比赛日决定，届时另行通知。拍卖收入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60%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归鸽主，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40%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归本中心。参加拍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ab/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   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卖的获奖鸽主须提前准备好血统书。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、迟归鸽在拍卖结束一周内领回，逾期不领取的，视为放弃，由本公棚全权处理。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、以上参赛费及各项奖金均为人民币，获奖鸽的奖金和拍卖收入所产生的相关税费，由鸽主自理。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、未尽事宜，另行通知。本规程最终解释权和补充权属成都国翔赛鸽中心。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2161A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2161A"/>
          <w:sz w:val="18"/>
          <w:szCs w:val="18"/>
          <w:lang w:val="zh-CN"/>
        </w:rPr>
        <w:t>六、决赛出现下列特殊情况时，成绩确定与奖金分配办法如下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1.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报到有效期内无鸽归巢，奖金（含比赛规程中设置的所有赛项奖金）由上笼鸽均分。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、报到有效期内归巢鸽达不到规程录取名额的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50%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，剩余奖金由上笼鸽均分。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、报到有效期内归巢鸽超过规程录取名额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 xml:space="preserve">50%, 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剩余奖金由归巢鸽均分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.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、电子计时系统如出现故障，影响名次排列时，故障期间归巢的赛鸽名次并列，奖金由故障期间归巢鸽均分；归巢羽数达不到录取名次时，按前述规定执行。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5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、各项比赛均由裁判员和鸽友代表监督比赛全过程。各站比赛集鸽，各地鸽友可现场监督，随车监放。【可选送代表】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6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、热身赛、预赛报到有效期为司放当日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19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点结束，决赛报到有效期为司放次日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19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点结束。</w:t>
      </w:r>
    </w:p>
    <w:p>
      <w:pPr>
        <w:spacing w:line="288" w:lineRule="auto"/>
        <w:jc w:val="both"/>
        <w:textAlignment w:val="center"/>
        <w:rPr>
          <w:rFonts w:ascii="方正兰亭粗黑简体" w:hAnsi="等线" w:eastAsia="方正兰亭粗黑简体" w:cs="方正兰亭粗黑简体"/>
          <w:color w:val="D91817"/>
          <w:sz w:val="18"/>
          <w:szCs w:val="18"/>
          <w:lang w:val="zh-CN"/>
        </w:rPr>
      </w:pPr>
      <w:r>
        <w:rPr>
          <w:rFonts w:hint="eastAsia" w:ascii="方正兰亭粗黑简体" w:hAnsi="等线" w:eastAsia="方正兰亭粗黑简体" w:cs="方正兰亭粗黑简体"/>
          <w:color w:val="D91817"/>
          <w:sz w:val="18"/>
          <w:szCs w:val="18"/>
          <w:lang w:val="zh-CN"/>
        </w:rPr>
        <w:t>七、其他事项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1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、欢迎鸽友在训放、预赛、决赛集鸽、登检、入笼、放飞时进行监督。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、公棚重要信息，将及时上网公布，请鸽友查阅以下网址：中国信鸽信息网：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http://cdgx.chinaxinge.com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，成都市信鸽协会官方网站：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"http://WWW.CDHPA.COM" </w:instrText>
      </w:r>
      <w:r>
        <w:rPr>
          <w:sz w:val="18"/>
          <w:szCs w:val="18"/>
        </w:rPr>
        <w:fldChar w:fldCharType="separate"/>
      </w:r>
      <w:r>
        <w:rPr>
          <w:rStyle w:val="3"/>
          <w:rFonts w:ascii="方正兰亭黑_GBK" w:hAnsi="等线" w:eastAsia="方正兰亭黑_GBK" w:cs="方正兰亭黑_GBK"/>
          <w:sz w:val="18"/>
          <w:szCs w:val="18"/>
          <w:lang w:val="zh-CN"/>
        </w:rPr>
        <w:t>WWW.CDHPA.COM</w:t>
      </w:r>
      <w:r>
        <w:rPr>
          <w:rStyle w:val="3"/>
          <w:rFonts w:ascii="方正兰亭黑_GBK" w:hAnsi="等线" w:eastAsia="方正兰亭黑_GBK" w:cs="方正兰亭黑_GBK"/>
          <w:sz w:val="18"/>
          <w:szCs w:val="18"/>
          <w:lang w:val="zh-CN"/>
        </w:rPr>
        <w:fldChar w:fldCharType="end"/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。</w:t>
      </w: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3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、参赛鸽主如对裁判判罚不服要求申诉，必须提交书面文字材料（口头、电话申诉不予受理），同时交纳申诉费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2000.00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元，如胜诉，申诉费退还本人，如败诉，申诉费不予退回。从公布成绩后</w:t>
      </w: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24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小时内为受办理申诉的有效时间，过期不予受理。</w:t>
      </w:r>
    </w:p>
    <w:p>
      <w:pPr>
        <w:spacing w:line="288" w:lineRule="auto"/>
        <w:jc w:val="both"/>
        <w:textAlignment w:val="center"/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</w:pPr>
      <w:r>
        <w:rPr>
          <w:rFonts w:ascii="方正兰亭黑_GBK" w:hAnsi="等线" w:eastAsia="方正兰亭黑_GBK" w:cs="方正兰亭黑_GBK"/>
          <w:color w:val="000000"/>
          <w:sz w:val="18"/>
          <w:szCs w:val="18"/>
          <w:lang w:val="zh-CN"/>
        </w:rPr>
        <w:t>4</w:t>
      </w:r>
      <w:r>
        <w:rPr>
          <w:rFonts w:hint="eastAsia" w:ascii="方正兰亭黑_GBK" w:hAnsi="等线" w:eastAsia="方正兰亭黑_GBK" w:cs="方正兰亭黑_GBK"/>
          <w:color w:val="000000"/>
          <w:sz w:val="18"/>
          <w:szCs w:val="18"/>
          <w:lang w:val="zh-CN"/>
        </w:rPr>
        <w:t>、集鸽至比赛期间如遇不可抗力导致比赛不能进行，主办单位将按参赛鸽主所交参赛费数目退还鸽主。</w:t>
      </w:r>
    </w:p>
    <w:p>
      <w:pPr>
        <w:pStyle w:val="33"/>
        <w:rPr>
          <w:rFonts w:ascii="方正兰亭黑_GBK" w:eastAsia="方正兰亭黑_GBK" w:cs="方正兰亭黑_GBK"/>
          <w:b/>
          <w:bCs/>
          <w:color w:val="C32328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未尽事宜，另行通知。本规程最终解释权和补充权属成都国翔赛鸽中心。</w:t>
      </w:r>
    </w:p>
    <w:p>
      <w:pPr>
        <w:spacing w:line="288" w:lineRule="auto"/>
        <w:jc w:val="both"/>
        <w:textAlignment w:val="center"/>
        <w:rPr>
          <w:rFonts w:hint="eastAsia" w:ascii="方正兰亭黑_GBK" w:hAnsi="等线" w:eastAsia="方正兰亭黑_GBK" w:cs="方正兰亭黑_GBK"/>
          <w:color w:val="000000" w:themeColor="text1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000000" w:themeColor="text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兰亭黑_GBK" w:hAnsi="等线" w:eastAsia="方正兰亭黑_GBK" w:cs="方正兰亭黑_GBK"/>
          <w:color w:val="000000" w:themeColor="text1"/>
          <w:lang w:val="zh-CN"/>
          <w14:textFill>
            <w14:solidFill>
              <w14:schemeClr w14:val="tx1"/>
            </w14:solidFill>
          </w14:textFill>
        </w:rPr>
        <w:t>各地代收点：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万大友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13348951296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谢兵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15902877802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徐长明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13808223965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魏锦毅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13408600706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张发宽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13540123136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王仁发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15008271118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狄作培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13540654265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许小龙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13558752796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刘西明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13880414690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赵蜀建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13980836007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成都桐梓林: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陈卫洪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15184327561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成都温江：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康永虎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13568919390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成都温江：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郭永成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15281089088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成都彭州：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胡加兴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13547939800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成都簇桥：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帅学长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13541363935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成都文家场：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李平安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13882152659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成都金牛区：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杜礼忠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13568851756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成都中和：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张伟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13550075801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成都大面铺：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王泽雄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13666109899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天回镇：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曾万兵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13908098415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双流九江：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黄尚荣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13982156806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双流：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罗义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13540840475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华阳：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杨辉礼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13980440296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郫县红光：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刘木匠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13882030220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金堂：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卢毅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13880299017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新都：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曾光兴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13558623610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广汉：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冯利军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13990236950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新津：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刘顺华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13880882026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崇州：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王桂林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13982102358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眉山：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邓久元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15328782075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雅安：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桑豪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13547474746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广元：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张海林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15522505658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南充：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杜子俊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13350273309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什邡：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孙昌富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13060126689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郫县：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刘汉良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13408594470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仁寿：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高玉勇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15928018256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浦江：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杨洪欣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028-88550179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都江堰：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张雷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13880729877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峨眉：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魏家强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13981312764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邛崃：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田家富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13980083247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辑庆：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肖和林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13890246000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仓山：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熊文武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13981050246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洪雅：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邵传鹏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13990313232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乐山：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李建谟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18990600065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江油：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张林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15881650019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绵阳：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顾旭义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13881122968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绵阳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: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蒋凯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13909011427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乐至：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张光奎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13118428810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三台：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骆富裕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18990112812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夹江：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李建康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13550566093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中江：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蒋国跃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15308266160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中江：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田玉兴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13568214225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石棉：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张勤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13882430263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安岳：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何小勇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15378673866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安岳：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薛鲁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18282351929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汉源：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刘汉龙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18981629901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资中：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张主席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13990532178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阆中：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刘成培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13808274834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资阳：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王刚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13698328890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达州：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廖蓬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13982800025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遂宁大英：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陈刚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18982556911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遂宁大英：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徐杰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13882536958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遂宁安居：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唐坤茂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13882542448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遂宁城区：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闫云峰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13882555603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遂宁船山：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胡刚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18782588000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荣县：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詹四哥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13980222099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荣县：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左铭鸿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13194913268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宜宾：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代全祖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13086555577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射洪：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杜林林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15908306968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自贡：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陈金河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13990020381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简阳：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万强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18982971513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绵竹：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徐发明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15892868838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内江：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卢智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15729641777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广安：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吴圣坤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13688262398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青白江：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张友松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13540780356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青白江城厢：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陈绣川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15881111689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郫县：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唐小洪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13982031162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达 州: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钟昌贵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15228050885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泸州：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李建平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18909080222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泸州：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石军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13388293702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重庆合川：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赵常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15923034585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重庆潼南：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郑大全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13062348828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甘肃文县：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韩胜利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18919498509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陕西洋县：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辛辉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15319307966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重庆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: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付祖清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13609438076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15"/>
          <w:szCs w:val="15"/>
        </w:rPr>
      </w:pP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安县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:  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陈加荣</w:t>
      </w:r>
      <w:r>
        <w:rPr>
          <w:rFonts w:hint="eastAsia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 xml:space="preserve">      </w:t>
      </w:r>
      <w:r>
        <w:rPr>
          <w:rFonts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13330886199</w:t>
      </w:r>
    </w:p>
    <w:p>
      <w:pPr>
        <w:pStyle w:val="33"/>
        <w:rPr>
          <w:rFonts w:ascii="方正兰亭黑_GBK" w:eastAsia="方正兰亭黑_GBK" w:cs="方正兰亭黑_GBK"/>
          <w:color w:val="C5171E"/>
          <w:sz w:val="15"/>
          <w:szCs w:val="15"/>
          <w:lang w:val="en-US"/>
        </w:rPr>
      </w:pPr>
      <w:r>
        <w:rPr>
          <w:rFonts w:hint="eastAsia" w:ascii="Courier" w:hAnsi="Courier" w:cs="Times New Roman" w:eastAsiaTheme="minorEastAsia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金堂：       罗光勤      13608026422</w:t>
      </w:r>
    </w:p>
    <w:p>
      <w:pPr>
        <w:pStyle w:val="33"/>
        <w:rPr>
          <w:rFonts w:ascii="方正兰亭黑_GBK" w:eastAsia="方正兰亭黑_GBK" w:cs="方正兰亭黑_GBK"/>
          <w:color w:val="C32328"/>
          <w:sz w:val="20"/>
          <w:szCs w:val="20"/>
        </w:rPr>
      </w:pPr>
      <w:bookmarkStart w:id="0" w:name="_GoBack"/>
      <w:bookmarkEnd w:id="0"/>
    </w:p>
    <w:p>
      <w:pPr>
        <w:pStyle w:val="33"/>
        <w:rPr>
          <w:rFonts w:ascii="方正兰亭黑_GBK" w:eastAsia="方正兰亭黑_GBK" w:cs="方正兰亭黑_GBK"/>
          <w:color w:val="C32328"/>
          <w:sz w:val="20"/>
          <w:szCs w:val="20"/>
        </w:rPr>
      </w:pPr>
    </w:p>
    <w:p>
      <w:pPr>
        <w:pStyle w:val="33"/>
        <w:rPr>
          <w:rFonts w:ascii="方正兰亭黑_GBK" w:eastAsia="方正兰亭黑_GBK" w:cs="方正兰亭黑_GBK"/>
          <w:color w:val="C32328"/>
          <w:sz w:val="20"/>
          <w:szCs w:val="20"/>
        </w:rPr>
      </w:pPr>
    </w:p>
    <w:p>
      <w:pPr>
        <w:pStyle w:val="33"/>
        <w:rPr>
          <w:rFonts w:ascii="方正兰亭黑_GBK" w:eastAsia="方正兰亭黑_GBK" w:cs="方正兰亭黑_GBK"/>
          <w:color w:val="C32328"/>
          <w:sz w:val="20"/>
          <w:szCs w:val="20"/>
        </w:rPr>
      </w:pP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8151D"/>
          <w:lang w:val="zh-CN"/>
        </w:rPr>
      </w:pPr>
    </w:p>
    <w:p>
      <w:pPr>
        <w:pStyle w:val="33"/>
        <w:rPr>
          <w:rFonts w:ascii="方正兰亭黑_GBK" w:eastAsia="方正兰亭黑_GBK" w:cs="方正兰亭黑_GBK"/>
          <w:color w:val="C32328"/>
          <w:sz w:val="20"/>
          <w:szCs w:val="20"/>
        </w:rPr>
      </w:pPr>
    </w:p>
    <w:p>
      <w:pPr>
        <w:pStyle w:val="33"/>
        <w:rPr>
          <w:rFonts w:ascii="方正兰亭黑_GBK" w:eastAsia="方正兰亭黑_GBK" w:cs="方正兰亭黑_GBK"/>
          <w:color w:val="C32328"/>
          <w:sz w:val="20"/>
          <w:szCs w:val="20"/>
        </w:rPr>
      </w:pPr>
    </w:p>
    <w:p>
      <w:pPr>
        <w:pStyle w:val="33"/>
        <w:rPr>
          <w:rFonts w:ascii="方正兰亭黑_GBK" w:eastAsia="方正兰亭黑_GBK" w:cs="方正兰亭黑_GBK"/>
          <w:color w:val="C32328"/>
          <w:sz w:val="20"/>
          <w:szCs w:val="20"/>
        </w:rPr>
      </w:pPr>
    </w:p>
    <w:p>
      <w:pPr>
        <w:pStyle w:val="33"/>
        <w:rPr>
          <w:rFonts w:ascii="方正兰亭黑_GBK" w:eastAsia="方正兰亭黑_GBK" w:cs="方正兰亭黑_GBK"/>
          <w:color w:val="C32328"/>
          <w:sz w:val="20"/>
          <w:szCs w:val="20"/>
        </w:rPr>
      </w:pPr>
    </w:p>
    <w:p>
      <w:pPr>
        <w:spacing w:line="288" w:lineRule="auto"/>
        <w:jc w:val="both"/>
        <w:textAlignment w:val="center"/>
        <w:rPr>
          <w:rFonts w:ascii="方正兰亭黑_GBK" w:hAnsi="等线" w:eastAsia="方正兰亭黑_GBK" w:cs="方正兰亭黑_GBK"/>
          <w:color w:val="C32328"/>
          <w:lang w:val="zh-CN"/>
        </w:rPr>
      </w:pPr>
      <w:r>
        <w:rPr>
          <w:rFonts w:ascii="方正兰亭黑_GBK" w:hAnsi="等线" w:eastAsia="方正兰亭黑_GBK" w:cs="方正兰亭黑_GBK"/>
          <w:color w:val="C32328"/>
          <w:lang w:val="zh-CN"/>
        </w:rPr>
        <w:t xml:space="preserve"> </w:t>
      </w:r>
    </w:p>
    <w:p>
      <w:pPr>
        <w:rPr>
          <w:rFonts w:ascii="方正黑体简体" w:eastAsia="方正黑体简体" w:cs="方正黑体简体"/>
          <w:color w:val="D02127"/>
          <w:sz w:val="18"/>
          <w:szCs w:val="18"/>
          <w:lang w:val="zh-CN"/>
        </w:rPr>
      </w:pP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兰亭黑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bordersDoNotSurroundHeader w:val="0"/>
  <w:bordersDoNotSurroundFooter w:val="0"/>
  <w:documentProtection w:enforcement="0"/>
  <w:defaultTabStop w:val="720"/>
  <w:autoHyphenation/>
  <w:hyphenationZone w:val="731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90"/>
    <w:rsid w:val="00257F90"/>
    <w:rsid w:val="00714E0A"/>
    <w:rsid w:val="0086131E"/>
    <w:rsid w:val="00874A30"/>
    <w:rsid w:val="00A11686"/>
    <w:rsid w:val="00F242DB"/>
    <w:rsid w:val="14722289"/>
    <w:rsid w:val="42063771"/>
    <w:rsid w:val="535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Courier" w:hAnsi="Courier" w:cs="Times New Roman" w:eastAsiaTheme="minorEastAsia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_"/>
    <w:uiPriority w:val="99"/>
    <w:pPr>
      <w:widowControl w:val="0"/>
      <w:autoSpaceDE w:val="0"/>
      <w:autoSpaceDN w:val="0"/>
      <w:adjustRightInd w:val="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7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8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9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0">
    <w:name w:val="_23"/>
    <w:qFormat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1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2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3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4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5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6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7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8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9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20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21">
    <w:name w:val="_12"/>
    <w:qFormat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22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23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24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25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26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27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28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29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30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31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32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33">
    <w:name w:val="[基本段落]"/>
    <w:basedOn w:val="1"/>
    <w:uiPriority w:val="99"/>
    <w:pPr>
      <w:spacing w:line="288" w:lineRule="auto"/>
      <w:jc w:val="both"/>
      <w:textAlignment w:val="center"/>
    </w:pPr>
    <w:rPr>
      <w:rFonts w:ascii="Adobe 宋体 Std L" w:hAnsi="等线" w:eastAsia="Adobe 宋体 Std L" w:cs="Adobe 宋体 Std L"/>
      <w:color w:val="000000"/>
      <w:sz w:val="24"/>
      <w:szCs w:val="24"/>
      <w:lang w:val="zh-CN"/>
    </w:rPr>
  </w:style>
  <w:style w:type="character" w:customStyle="1" w:styleId="34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481</Words>
  <Characters>2748</Characters>
  <Lines>22</Lines>
  <Paragraphs>6</Paragraphs>
  <TotalTime>50</TotalTime>
  <ScaleCrop>false</ScaleCrop>
  <LinksUpToDate>false</LinksUpToDate>
  <CharactersWithSpaces>3223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2018-12-14T03:28:00Z</dcterms:created>
  <dc:creator>Corel</dc:creator>
  <cp:lastModifiedBy>独自精彩</cp:lastModifiedBy>
  <dcterms:modified xsi:type="dcterms:W3CDTF">2018-12-14T04:28:33Z</dcterms:modified>
  <dc:title>Backup_of_??(1).doc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